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media/image1.jpeg" ContentType="image/jpeg"/>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normal.0"/>
        <w:jc w:val="center"/>
        <w:rPr>
          <w:rStyle w:val="Nessuno"/>
          <w:sz w:val="24"/>
          <w:szCs w:val="24"/>
        </w:rPr>
      </w:pPr>
      <w:r>
        <w:rPr>
          <w:rStyle w:val="Nessuno"/>
          <w:sz w:val="24"/>
          <w:szCs w:val="24"/>
        </w:rPr>
        <w:drawing xmlns:a="http://schemas.openxmlformats.org/drawingml/2006/main">
          <wp:inline distT="0" distB="0" distL="0" distR="0">
            <wp:extent cx="2290446" cy="833989"/>
            <wp:effectExtent l="0" t="0" r="0" b="0"/>
            <wp:docPr id="1073741826" name="officeArt object" descr="image.jpeg"/>
            <wp:cNvGraphicFramePr/>
            <a:graphic xmlns:a="http://schemas.openxmlformats.org/drawingml/2006/main">
              <a:graphicData uri="http://schemas.openxmlformats.org/drawingml/2006/picture">
                <pic:pic xmlns:pic="http://schemas.openxmlformats.org/drawingml/2006/picture">
                  <pic:nvPicPr>
                    <pic:cNvPr id="1073741826" name="image.jpeg" descr="image.jpeg"/>
                    <pic:cNvPicPr>
                      <a:picLocks noChangeAspect="1"/>
                    </pic:cNvPicPr>
                  </pic:nvPicPr>
                  <pic:blipFill>
                    <a:blip r:embed="rId4">
                      <a:extLst/>
                    </a:blip>
                    <a:stretch>
                      <a:fillRect/>
                    </a:stretch>
                  </pic:blipFill>
                  <pic:spPr>
                    <a:xfrm>
                      <a:off x="0" y="0"/>
                      <a:ext cx="2290446" cy="833989"/>
                    </a:xfrm>
                    <a:prstGeom prst="rect">
                      <a:avLst/>
                    </a:prstGeom>
                    <a:ln w="12700" cap="flat">
                      <a:noFill/>
                      <a:miter lim="400000"/>
                    </a:ln>
                    <a:effectLst/>
                  </pic:spPr>
                </pic:pic>
              </a:graphicData>
            </a:graphic>
          </wp:inline>
        </w:drawing>
      </w:r>
    </w:p>
    <w:p>
      <w:pPr>
        <w:pStyle w:val="normal.0"/>
        <w:rPr>
          <w:rStyle w:val="Nessuno"/>
          <w:sz w:val="24"/>
          <w:szCs w:val="24"/>
        </w:rPr>
      </w:pPr>
    </w:p>
    <w:p>
      <w:pPr>
        <w:pStyle w:val="Normale"/>
        <w:jc w:val="center"/>
        <w:rPr>
          <w:rStyle w:val="Nessuno"/>
          <w:b w:val="1"/>
          <w:bCs w:val="1"/>
        </w:rPr>
      </w:pPr>
    </w:p>
    <w:p>
      <w:pPr>
        <w:pStyle w:val="Normale"/>
        <w:jc w:val="center"/>
        <w:rPr>
          <w:rStyle w:val="Nessuno"/>
          <w:b w:val="1"/>
          <w:bCs w:val="1"/>
        </w:rPr>
      </w:pPr>
      <w:r>
        <w:rPr>
          <w:rStyle w:val="Nessuno"/>
          <w:b w:val="1"/>
          <w:bCs w:val="1"/>
          <w:rtl w:val="0"/>
          <w:lang w:val="it-IT"/>
        </w:rPr>
        <w:t xml:space="preserve">COMUNICATO STAMPA </w:t>
      </w:r>
    </w:p>
    <w:p>
      <w:pPr>
        <w:pStyle w:val="Normale"/>
        <w:jc w:val="center"/>
        <w:rPr>
          <w:rStyle w:val="Nessuno"/>
          <w:b w:val="1"/>
          <w:bCs w:val="1"/>
        </w:rPr>
      </w:pPr>
    </w:p>
    <w:p>
      <w:pPr>
        <w:pStyle w:val="Normale"/>
        <w:jc w:val="center"/>
        <w:rPr>
          <w:rStyle w:val="Nessuno"/>
          <w:b w:val="1"/>
          <w:bCs w:val="1"/>
          <w:sz w:val="28"/>
          <w:szCs w:val="28"/>
        </w:rPr>
      </w:pPr>
      <w:r>
        <w:rPr>
          <w:rStyle w:val="Nessuno"/>
          <w:b w:val="1"/>
          <w:bCs w:val="1"/>
          <w:sz w:val="28"/>
          <w:szCs w:val="28"/>
          <w:rtl w:val="0"/>
          <w:lang w:val="it-IT"/>
        </w:rPr>
        <w:t xml:space="preserve">Oltre </w:t>
      </w:r>
      <w:r>
        <w:rPr>
          <w:rStyle w:val="Nessuno"/>
          <w:b w:val="1"/>
          <w:bCs w:val="1"/>
          <w:sz w:val="28"/>
          <w:szCs w:val="28"/>
          <w:rtl w:val="0"/>
          <w:lang w:val="it-IT"/>
        </w:rPr>
        <w:t>10</w:t>
      </w:r>
      <w:r>
        <w:rPr>
          <w:rStyle w:val="Nessuno"/>
          <w:b w:val="1"/>
          <w:bCs w:val="1"/>
          <w:sz w:val="28"/>
          <w:szCs w:val="28"/>
          <w:rtl w:val="0"/>
          <w:lang w:val="it-IT"/>
        </w:rPr>
        <w:t>mila visitatori a Gubbio per la mostra</w:t>
      </w:r>
      <w:r>
        <w:rPr>
          <w:rStyle w:val="Nessuno"/>
          <w:b w:val="1"/>
          <w:bCs w:val="1"/>
          <w:rtl w:val="0"/>
          <w:lang w:val="it-IT"/>
        </w:rPr>
        <w:t xml:space="preserve"> “</w:t>
      </w:r>
      <w:r>
        <w:rPr>
          <w:rStyle w:val="Nessuno"/>
          <w:b w:val="1"/>
          <w:bCs w:val="1"/>
          <w:sz w:val="28"/>
          <w:szCs w:val="28"/>
          <w:rtl w:val="0"/>
          <w:lang w:val="it-IT"/>
        </w:rPr>
        <w:t>Francesco e Frate Lupo. L</w:t>
      </w:r>
      <w:r>
        <w:rPr>
          <w:rStyle w:val="Nessuno"/>
          <w:b w:val="1"/>
          <w:bCs w:val="1"/>
          <w:sz w:val="28"/>
          <w:szCs w:val="28"/>
          <w:rtl w:val="0"/>
          <w:lang w:val="it-IT"/>
        </w:rPr>
        <w:t>’</w:t>
      </w:r>
      <w:r>
        <w:rPr>
          <w:rStyle w:val="Nessuno"/>
          <w:b w:val="1"/>
          <w:bCs w:val="1"/>
          <w:sz w:val="28"/>
          <w:szCs w:val="28"/>
          <w:rtl w:val="0"/>
          <w:lang w:val="it-IT"/>
        </w:rPr>
        <w:t>arte racconta la leggenda dell</w:t>
      </w:r>
      <w:r>
        <w:rPr>
          <w:rStyle w:val="Nessuno"/>
          <w:b w:val="1"/>
          <w:bCs w:val="1"/>
          <w:sz w:val="28"/>
          <w:szCs w:val="28"/>
          <w:rtl w:val="0"/>
          <w:lang w:val="it-IT"/>
        </w:rPr>
        <w:t>’</w:t>
      </w:r>
      <w:r>
        <w:rPr>
          <w:rStyle w:val="Nessuno"/>
          <w:b w:val="1"/>
          <w:bCs w:val="1"/>
          <w:sz w:val="28"/>
          <w:szCs w:val="28"/>
          <w:rtl w:val="0"/>
          <w:lang w:val="it-IT"/>
        </w:rPr>
        <w:t>incontro</w:t>
      </w:r>
      <w:r>
        <w:rPr>
          <w:rStyle w:val="Nessuno"/>
          <w:b w:val="1"/>
          <w:bCs w:val="1"/>
          <w:sz w:val="28"/>
          <w:szCs w:val="28"/>
          <w:rtl w:val="0"/>
          <w:lang w:val="it-IT"/>
        </w:rPr>
        <w:t>”</w:t>
      </w:r>
      <w:r>
        <w:rPr>
          <w:rStyle w:val="Nessuno"/>
          <w:b w:val="1"/>
          <w:bCs w:val="1"/>
          <w:sz w:val="28"/>
          <w:szCs w:val="28"/>
          <w:rtl w:val="0"/>
          <w:lang w:val="it-IT"/>
        </w:rPr>
        <w:t>: prorogata al 19 aprile</w:t>
      </w:r>
    </w:p>
    <w:p>
      <w:pPr>
        <w:pStyle w:val="Normale"/>
        <w:jc w:val="center"/>
        <w:rPr>
          <w:rStyle w:val="Nessuno"/>
          <w:b w:val="1"/>
          <w:bCs w:val="1"/>
        </w:rPr>
      </w:pPr>
      <w:r>
        <w:rPr>
          <w:rStyle w:val="Nessuno"/>
          <w:b w:val="1"/>
          <w:bCs w:val="1"/>
          <w:rtl w:val="0"/>
          <w:lang w:val="it-IT"/>
        </w:rPr>
        <w:t xml:space="preserve">27 settembre 2025 </w:t>
      </w:r>
      <w:r>
        <w:rPr>
          <w:rStyle w:val="Nessuno"/>
          <w:b w:val="1"/>
          <w:bCs w:val="1"/>
          <w:rtl w:val="0"/>
          <w:lang w:val="it-IT"/>
        </w:rPr>
        <w:t xml:space="preserve">– </w:t>
      </w:r>
      <w:r>
        <w:rPr>
          <w:rStyle w:val="Nessuno"/>
          <w:b w:val="1"/>
          <w:bCs w:val="1"/>
          <w:rtl w:val="0"/>
          <w:lang w:val="it-IT"/>
        </w:rPr>
        <w:t>19 aprile 2026</w:t>
      </w:r>
    </w:p>
    <w:p>
      <w:pPr>
        <w:pStyle w:val="Normale"/>
        <w:jc w:val="center"/>
        <w:rPr>
          <w:rStyle w:val="Nessuno"/>
          <w:b w:val="1"/>
          <w:bCs w:val="1"/>
          <w:sz w:val="28"/>
          <w:szCs w:val="28"/>
        </w:rPr>
      </w:pPr>
    </w:p>
    <w:p>
      <w:pPr>
        <w:pStyle w:val="Normale"/>
        <w:jc w:val="center"/>
        <w:rPr>
          <w:rStyle w:val="Nessuno"/>
          <w:b w:val="1"/>
          <w:bCs w:val="1"/>
        </w:rPr>
      </w:pPr>
    </w:p>
    <w:p>
      <w:pPr>
        <w:pStyle w:val="Normale"/>
        <w:jc w:val="center"/>
        <w:rPr>
          <w:rStyle w:val="Nessuno"/>
          <w:b w:val="1"/>
          <w:bCs w:val="1"/>
          <w:i w:val="1"/>
          <w:iCs w:val="1"/>
        </w:rPr>
      </w:pPr>
      <w:r>
        <w:rPr>
          <w:rStyle w:val="Nessuno"/>
          <w:i w:val="1"/>
          <w:iCs w:val="1"/>
          <w:rtl w:val="0"/>
          <w:lang w:val="it-IT"/>
        </w:rPr>
        <w:t>Museo Civico di Palazzo dei Consoli, il Museo Diocesano, Logge dei Tiratoi</w:t>
      </w:r>
    </w:p>
    <w:p>
      <w:pPr>
        <w:pStyle w:val="Normale"/>
        <w:jc w:val="center"/>
        <w:rPr>
          <w:rStyle w:val="Nessuno"/>
          <w:b w:val="1"/>
          <w:bCs w:val="1"/>
          <w:i w:val="1"/>
          <w:iCs w:val="1"/>
        </w:rPr>
      </w:pPr>
      <w:r>
        <w:rPr>
          <w:rStyle w:val="Nessuno"/>
          <w:b w:val="1"/>
          <w:bCs w:val="1"/>
        </w:rPr>
        <w:br w:type="textWrapping"/>
      </w:r>
      <w:r>
        <w:rPr>
          <w:rStyle w:val="Nessuno"/>
          <w:b w:val="1"/>
          <w:bCs w:val="1"/>
          <w:i w:val="1"/>
          <w:iCs w:val="1"/>
          <w:rtl w:val="0"/>
          <w:lang w:val="it-IT"/>
        </w:rPr>
        <w:t xml:space="preserve"> È </w:t>
      </w:r>
      <w:r>
        <w:rPr>
          <w:rStyle w:val="Nessuno"/>
          <w:b w:val="1"/>
          <w:bCs w:val="1"/>
          <w:i w:val="1"/>
          <w:iCs w:val="1"/>
          <w:rtl w:val="0"/>
          <w:lang w:val="it-IT"/>
        </w:rPr>
        <w:t>record di presenze in citt</w:t>
      </w:r>
      <w:r>
        <w:rPr>
          <w:rStyle w:val="Nessuno"/>
          <w:b w:val="1"/>
          <w:bCs w:val="1"/>
          <w:i w:val="1"/>
          <w:iCs w:val="1"/>
          <w:rtl w:val="0"/>
          <w:lang w:val="it-IT"/>
        </w:rPr>
        <w:t xml:space="preserve">à </w:t>
      </w:r>
      <w:r>
        <w:rPr>
          <w:rStyle w:val="Nessuno"/>
          <w:b w:val="1"/>
          <w:bCs w:val="1"/>
          <w:i w:val="1"/>
          <w:iCs w:val="1"/>
          <w:rtl w:val="0"/>
          <w:lang w:val="it-IT"/>
        </w:rPr>
        <w:t>per la mostra-evento in occasione dell</w:t>
      </w:r>
      <w:r>
        <w:rPr>
          <w:rStyle w:val="Nessuno"/>
          <w:b w:val="1"/>
          <w:bCs w:val="1"/>
          <w:i w:val="1"/>
          <w:iCs w:val="1"/>
          <w:rtl w:val="0"/>
          <w:lang w:val="it-IT"/>
        </w:rPr>
        <w:t>’</w:t>
      </w:r>
      <w:r>
        <w:rPr>
          <w:rStyle w:val="Nessuno"/>
          <w:b w:val="1"/>
          <w:bCs w:val="1"/>
          <w:i w:val="1"/>
          <w:iCs w:val="1"/>
          <w:rtl w:val="0"/>
          <w:lang w:val="it-IT"/>
        </w:rPr>
        <w:t>Ottavo Centenario della morte di San Francesco d</w:t>
      </w:r>
      <w:r>
        <w:rPr>
          <w:rStyle w:val="Nessuno"/>
          <w:b w:val="1"/>
          <w:bCs w:val="1"/>
          <w:i w:val="1"/>
          <w:iCs w:val="1"/>
          <w:rtl w:val="0"/>
          <w:lang w:val="it-IT"/>
        </w:rPr>
        <w:t>’</w:t>
      </w:r>
      <w:r>
        <w:rPr>
          <w:rStyle w:val="Nessuno"/>
          <w:b w:val="1"/>
          <w:bCs w:val="1"/>
          <w:i w:val="1"/>
          <w:iCs w:val="1"/>
          <w:rtl w:val="0"/>
          <w:lang w:val="it-IT"/>
        </w:rPr>
        <w:t>Assisi. Altri tre mesi di tempo per visitare l</w:t>
      </w:r>
      <w:r>
        <w:rPr>
          <w:rStyle w:val="Nessuno"/>
          <w:b w:val="1"/>
          <w:bCs w:val="1"/>
          <w:i w:val="1"/>
          <w:iCs w:val="1"/>
          <w:rtl w:val="0"/>
          <w:lang w:val="it-IT"/>
        </w:rPr>
        <w:t>’</w:t>
      </w:r>
      <w:r>
        <w:rPr>
          <w:rStyle w:val="Nessuno"/>
          <w:b w:val="1"/>
          <w:bCs w:val="1"/>
          <w:i w:val="1"/>
          <w:iCs w:val="1"/>
          <w:rtl w:val="0"/>
          <w:lang w:val="it-IT"/>
        </w:rPr>
        <w:t>esposizione</w:t>
      </w:r>
      <w:r>
        <w:rPr>
          <w:rStyle w:val="Nessuno"/>
          <w:b w:val="1"/>
          <w:bCs w:val="1"/>
          <w:rtl w:val="0"/>
          <w:lang w:val="it-IT"/>
        </w:rPr>
        <w:t xml:space="preserve"> </w:t>
      </w:r>
      <w:r>
        <w:rPr>
          <w:rStyle w:val="Nessuno"/>
          <w:b w:val="1"/>
          <w:bCs w:val="1"/>
          <w:i w:val="1"/>
          <w:iCs w:val="1"/>
          <w:rtl w:val="0"/>
          <w:lang w:val="it-IT"/>
        </w:rPr>
        <w:t>promossa dal Comune di Gubbio, dalla Chiesa Eugubina, dal Museo Civico di Palazzo dei Consoli e dal Museo Diocesano di Gubbio e coprodotta da Opera Laboratori</w:t>
      </w:r>
    </w:p>
    <w:p>
      <w:pPr>
        <w:pStyle w:val="Normale"/>
        <w:rPr>
          <w:rStyle w:val="Nessuno"/>
          <w:b w:val="1"/>
          <w:bCs w:val="1"/>
        </w:rPr>
      </w:pPr>
    </w:p>
    <w:p>
      <w:pPr>
        <w:pStyle w:val="Normale"/>
        <w:jc w:val="both"/>
      </w:pPr>
    </w:p>
    <w:p>
      <w:pPr>
        <w:pStyle w:val="Normale"/>
        <w:jc w:val="both"/>
      </w:pPr>
      <w:r>
        <w:rPr>
          <w:rStyle w:val="Nessuno"/>
          <w:rtl w:val="0"/>
          <w:lang w:val="it-IT"/>
        </w:rPr>
        <w:t>Ancora tre mesi di tempo per scoprire le innumerevoli declinazioni artistiche di uno degli episodi pi</w:t>
      </w:r>
      <w:r>
        <w:rPr>
          <w:rStyle w:val="Nessuno"/>
          <w:rtl w:val="0"/>
          <w:lang w:val="it-IT"/>
        </w:rPr>
        <w:t xml:space="preserve">ù </w:t>
      </w:r>
      <w:r>
        <w:rPr>
          <w:rStyle w:val="Nessuno"/>
          <w:rtl w:val="0"/>
          <w:lang w:val="it-IT"/>
        </w:rPr>
        <w:t>celebri e simbolici della vita di San Francesco: l</w:t>
      </w:r>
      <w:r>
        <w:rPr>
          <w:rStyle w:val="Nessuno"/>
          <w:rtl w:val="0"/>
          <w:lang w:val="it-IT"/>
        </w:rPr>
        <w:t>’</w:t>
      </w:r>
      <w:r>
        <w:rPr>
          <w:rStyle w:val="Nessuno"/>
          <w:rtl w:val="0"/>
          <w:lang w:val="it-IT"/>
        </w:rPr>
        <w:t>incontro con frate lupo. L</w:t>
      </w:r>
      <w:r>
        <w:rPr>
          <w:rStyle w:val="Nessuno"/>
          <w:rtl w:val="0"/>
          <w:lang w:val="it-IT"/>
        </w:rPr>
        <w:t>’</w:t>
      </w:r>
      <w:r>
        <w:rPr>
          <w:rStyle w:val="Nessuno"/>
          <w:rtl w:val="0"/>
          <w:lang w:val="it-IT"/>
        </w:rPr>
        <w:t xml:space="preserve">esposizione, intitolata: </w:t>
      </w:r>
      <w:r>
        <w:rPr>
          <w:rStyle w:val="Nessuno"/>
          <w:b w:val="1"/>
          <w:bCs w:val="1"/>
          <w:rtl w:val="0"/>
          <w:lang w:val="it-IT"/>
        </w:rPr>
        <w:t>“</w:t>
      </w:r>
      <w:r>
        <w:rPr>
          <w:rStyle w:val="Nessuno"/>
          <w:b w:val="1"/>
          <w:bCs w:val="1"/>
          <w:i w:val="1"/>
          <w:iCs w:val="1"/>
          <w:rtl w:val="0"/>
          <w:lang w:val="it-IT"/>
        </w:rPr>
        <w:t>Francesco e Frate Lupo. L</w:t>
      </w:r>
      <w:r>
        <w:rPr>
          <w:rStyle w:val="Nessuno"/>
          <w:b w:val="1"/>
          <w:bCs w:val="1"/>
          <w:i w:val="1"/>
          <w:iCs w:val="1"/>
          <w:rtl w:val="0"/>
          <w:lang w:val="it-IT"/>
        </w:rPr>
        <w:t>’</w:t>
      </w:r>
      <w:r>
        <w:rPr>
          <w:rStyle w:val="Nessuno"/>
          <w:b w:val="1"/>
          <w:bCs w:val="1"/>
          <w:i w:val="1"/>
          <w:iCs w:val="1"/>
          <w:rtl w:val="0"/>
          <w:lang w:val="it-IT"/>
        </w:rPr>
        <w:t>arte racconta la leggenda dell</w:t>
      </w:r>
      <w:r>
        <w:rPr>
          <w:rStyle w:val="Nessuno"/>
          <w:b w:val="1"/>
          <w:bCs w:val="1"/>
          <w:i w:val="1"/>
          <w:iCs w:val="1"/>
          <w:rtl w:val="0"/>
          <w:lang w:val="it-IT"/>
        </w:rPr>
        <w:t>’</w:t>
      </w:r>
      <w:r>
        <w:rPr>
          <w:rStyle w:val="Nessuno"/>
          <w:b w:val="1"/>
          <w:bCs w:val="1"/>
          <w:i w:val="1"/>
          <w:iCs w:val="1"/>
          <w:rtl w:val="0"/>
          <w:lang w:val="it-IT"/>
        </w:rPr>
        <w:t>incontro</w:t>
      </w:r>
      <w:r>
        <w:rPr>
          <w:rStyle w:val="Nessuno"/>
          <w:b w:val="1"/>
          <w:bCs w:val="1"/>
          <w:i w:val="1"/>
          <w:iCs w:val="1"/>
          <w:rtl w:val="0"/>
          <w:lang w:val="it-IT"/>
        </w:rPr>
        <w:t>”</w:t>
      </w:r>
      <w:r>
        <w:rPr>
          <w:rStyle w:val="Nessuno"/>
          <w:b w:val="1"/>
          <w:bCs w:val="1"/>
          <w:i w:val="1"/>
          <w:iCs w:val="1"/>
          <w:rtl w:val="0"/>
          <w:lang w:val="it-IT"/>
        </w:rPr>
        <w:t xml:space="preserve">, </w:t>
      </w:r>
      <w:r>
        <w:rPr>
          <w:rStyle w:val="Nessuno"/>
          <w:rtl w:val="0"/>
          <w:lang w:val="it-IT"/>
        </w:rPr>
        <w:t>promossa dal Comune di Gubbio, dalla Chiesa Eugubina, dal Museo Civico di Palazzo dei Consoli e dal Museo Diocesano di Gubbio, con l</w:t>
      </w:r>
      <w:r>
        <w:rPr>
          <w:rStyle w:val="Nessuno"/>
          <w:rtl w:val="0"/>
          <w:lang w:val="it-IT"/>
        </w:rPr>
        <w:t>’</w:t>
      </w:r>
      <w:r>
        <w:rPr>
          <w:rStyle w:val="Nessuno"/>
          <w:rtl w:val="0"/>
          <w:lang w:val="it-IT"/>
        </w:rPr>
        <w:t>organizzazione e il sostegno di Opera Laboratori, sar</w:t>
      </w:r>
      <w:r>
        <w:rPr>
          <w:rStyle w:val="Nessuno"/>
          <w:rtl w:val="0"/>
          <w:lang w:val="it-IT"/>
        </w:rPr>
        <w:t xml:space="preserve">à </w:t>
      </w:r>
      <w:r>
        <w:rPr>
          <w:rStyle w:val="Nessuno"/>
          <w:rtl w:val="0"/>
          <w:lang w:val="it-IT"/>
        </w:rPr>
        <w:t>prorogata, infatti, al 19 aprile 2026. In poco pi</w:t>
      </w:r>
      <w:r>
        <w:rPr>
          <w:rStyle w:val="Nessuno"/>
          <w:rtl w:val="0"/>
          <w:lang w:val="it-IT"/>
        </w:rPr>
        <w:t xml:space="preserve">ù </w:t>
      </w:r>
      <w:r>
        <w:rPr>
          <w:rStyle w:val="Nessuno"/>
          <w:rtl w:val="0"/>
          <w:lang w:val="it-IT"/>
        </w:rPr>
        <w:t>di tre mesi la mostra, inaugurata lo scorso 27 settembre e con la chiusura inizialmente prevista per l</w:t>
      </w:r>
      <w:r>
        <w:rPr>
          <w:rStyle w:val="Nessuno"/>
          <w:rtl w:val="0"/>
          <w:lang w:val="it-IT"/>
        </w:rPr>
        <w:t>’</w:t>
      </w:r>
      <w:r>
        <w:rPr>
          <w:rStyle w:val="Nessuno"/>
          <w:rtl w:val="0"/>
          <w:lang w:val="it-IT"/>
        </w:rPr>
        <w:t xml:space="preserve">11 gennaio 2026 </w:t>
      </w:r>
      <w:r>
        <w:rPr>
          <w:rStyle w:val="Nessuno"/>
          <w:rtl w:val="0"/>
          <w:lang w:val="it-IT"/>
        </w:rPr>
        <w:t xml:space="preserve">è </w:t>
      </w:r>
      <w:r>
        <w:rPr>
          <w:rStyle w:val="Nessuno"/>
          <w:rtl w:val="0"/>
          <w:lang w:val="it-IT"/>
        </w:rPr>
        <w:t xml:space="preserve">stata visitata da oltre </w:t>
      </w:r>
      <w:r>
        <w:rPr>
          <w:rStyle w:val="Nessuno"/>
          <w:rtl w:val="0"/>
          <w:lang w:val="it-IT"/>
        </w:rPr>
        <w:t>10</w:t>
      </w:r>
      <w:r>
        <w:rPr>
          <w:rStyle w:val="Nessuno"/>
          <w:rtl w:val="0"/>
          <w:lang w:val="it-IT"/>
        </w:rPr>
        <w:t xml:space="preserve">mila persone. </w:t>
      </w:r>
    </w:p>
    <w:p>
      <w:pPr>
        <w:pStyle w:val="Normale"/>
        <w:jc w:val="both"/>
      </w:pPr>
      <w:r>
        <w:rPr>
          <w:rStyle w:val="Nessuno"/>
          <w:rtl w:val="0"/>
          <w:lang w:val="it-IT"/>
        </w:rPr>
        <w:t>L</w:t>
      </w:r>
      <w:r>
        <w:rPr>
          <w:rStyle w:val="Nessuno"/>
          <w:rtl w:val="0"/>
          <w:lang w:val="it-IT"/>
        </w:rPr>
        <w:t>’</w:t>
      </w:r>
      <w:r>
        <w:rPr>
          <w:rStyle w:val="Nessuno"/>
          <w:rtl w:val="0"/>
          <w:lang w:val="it-IT"/>
        </w:rPr>
        <w:t xml:space="preserve">iniziativa gode del patrocinio del Comitato cittadino permanente </w:t>
      </w:r>
      <w:r>
        <w:rPr>
          <w:rStyle w:val="Nessuno"/>
          <w:rtl w:val="0"/>
          <w:lang w:val="it-IT"/>
        </w:rPr>
        <w:t>“</w:t>
      </w:r>
      <w:r>
        <w:rPr>
          <w:rStyle w:val="Nessuno"/>
          <w:rtl w:val="0"/>
          <w:lang w:val="it-IT"/>
        </w:rPr>
        <w:t>Francesco a Gubbio</w:t>
      </w:r>
      <w:r>
        <w:rPr>
          <w:rStyle w:val="Nessuno"/>
          <w:rtl w:val="0"/>
          <w:lang w:val="it-IT"/>
        </w:rPr>
        <w:t>”</w:t>
      </w:r>
      <w:r>
        <w:rPr>
          <w:rStyle w:val="Nessuno"/>
          <w:rtl w:val="0"/>
          <w:lang w:val="it-IT"/>
        </w:rPr>
        <w:t>, del Comitato Nazionale San Francesco 800 e del Club Alpino Italiano, e rappresenta il cuore pulsante delle celebrazioni per l</w:t>
      </w:r>
      <w:r>
        <w:rPr>
          <w:rStyle w:val="Nessuno"/>
          <w:rtl w:val="0"/>
          <w:lang w:val="it-IT"/>
        </w:rPr>
        <w:t>’</w:t>
      </w:r>
      <w:r>
        <w:rPr>
          <w:rStyle w:val="Nessuno"/>
          <w:rtl w:val="0"/>
          <w:lang w:val="it-IT"/>
        </w:rPr>
        <w:t>Ottavo Centenario della morte del Santo, in programma tra il luglio 2025 e il dicembre 2026.</w:t>
      </w:r>
    </w:p>
    <w:p>
      <w:pPr>
        <w:pStyle w:val="Normale"/>
        <w:jc w:val="both"/>
      </w:pPr>
    </w:p>
    <w:p>
      <w:pPr>
        <w:pStyle w:val="Normale"/>
        <w:jc w:val="both"/>
      </w:pPr>
      <w:r>
        <w:rPr>
          <w:rStyle w:val="Nessuno"/>
          <w:rtl w:val="0"/>
          <w:lang w:val="it-IT"/>
        </w:rPr>
        <w:t xml:space="preserve">Una vera e propria mostra-evento che riunisce per la prima volta </w:t>
      </w:r>
      <w:r>
        <w:rPr>
          <w:rStyle w:val="Nessuno"/>
          <w:b w:val="1"/>
          <w:bCs w:val="1"/>
          <w:rtl w:val="0"/>
          <w:lang w:val="it-IT"/>
        </w:rPr>
        <w:t>oltre 250 opere tra dipinti, sculture, ceramiche, manoscritti, incisioni e libri illustrati,</w:t>
      </w:r>
      <w:r>
        <w:rPr>
          <w:rStyle w:val="Nessuno"/>
          <w:rtl w:val="0"/>
          <w:lang w:val="it-IT"/>
        </w:rPr>
        <w:t xml:space="preserve"> provenienti da musei, archivi, biblioteche e collezioni private italiane ed estere. Si potranno ammirare, tra gli altri, capolavori di Gerardo Dottori e significative testimonianze della ceramica eugubina del Novecento, fino alle interpretazioni contemporanee di artisti che hanno riletto in chiave attuale il simbolo di Francesco e del lupo.</w:t>
      </w:r>
    </w:p>
    <w:p>
      <w:pPr>
        <w:pStyle w:val="Normale"/>
        <w:jc w:val="both"/>
      </w:pPr>
    </w:p>
    <w:p>
      <w:pPr>
        <w:pStyle w:val="Normale"/>
        <w:jc w:val="both"/>
      </w:pPr>
      <w:r>
        <w:rPr>
          <w:rStyle w:val="Nessuno"/>
          <w:rtl w:val="0"/>
          <w:lang w:val="it-IT"/>
        </w:rPr>
        <w:t xml:space="preserve">Il percorso espositivo distribuito in </w:t>
      </w:r>
      <w:r>
        <w:rPr>
          <w:rStyle w:val="Nessuno"/>
          <w:b w:val="1"/>
          <w:bCs w:val="1"/>
          <w:rtl w:val="0"/>
          <w:lang w:val="it-IT"/>
        </w:rPr>
        <w:t>tre sedi tra il Museo Civico di Palazzo dei Consoli, il Museo Diocesano e le Logge dei Tiratoi</w:t>
      </w:r>
      <w:r>
        <w:rPr>
          <w:rStyle w:val="Nessuno"/>
          <w:rtl w:val="0"/>
          <w:lang w:val="it-IT"/>
        </w:rPr>
        <w:t xml:space="preserve"> si articola in pi</w:t>
      </w:r>
      <w:r>
        <w:rPr>
          <w:rStyle w:val="Nessuno"/>
          <w:rtl w:val="0"/>
          <w:lang w:val="it-IT"/>
        </w:rPr>
        <w:t xml:space="preserve">ù </w:t>
      </w:r>
      <w:r>
        <w:rPr>
          <w:rStyle w:val="Nessuno"/>
          <w:rtl w:val="0"/>
          <w:lang w:val="it-IT"/>
        </w:rPr>
        <w:t>sezioni, dedicate all</w:t>
      </w:r>
      <w:r>
        <w:rPr>
          <w:rStyle w:val="Nessuno"/>
          <w:rtl w:val="0"/>
          <w:lang w:val="it-IT"/>
        </w:rPr>
        <w:t>’</w:t>
      </w:r>
      <w:r>
        <w:rPr>
          <w:rStyle w:val="Nessuno"/>
          <w:rtl w:val="0"/>
          <w:lang w:val="it-IT"/>
        </w:rPr>
        <w:t>evoluzione iconografica dal Quattrocento alla contemporaneit</w:t>
      </w:r>
      <w:r>
        <w:rPr>
          <w:rStyle w:val="Nessuno"/>
          <w:rtl w:val="0"/>
          <w:lang w:val="it-IT"/>
        </w:rPr>
        <w:t xml:space="preserve">à </w:t>
      </w:r>
      <w:r>
        <w:rPr>
          <w:rStyle w:val="Nessuno"/>
          <w:rtl w:val="0"/>
          <w:lang w:val="it-IT"/>
        </w:rPr>
        <w:t>e alla sua diffusione, al linguaggio della ceramica, all</w:t>
      </w:r>
      <w:r>
        <w:rPr>
          <w:rStyle w:val="Nessuno"/>
          <w:rtl w:val="0"/>
          <w:lang w:val="it-IT"/>
        </w:rPr>
        <w:t>’</w:t>
      </w:r>
      <w:r>
        <w:rPr>
          <w:rStyle w:val="Nessuno"/>
          <w:rtl w:val="0"/>
          <w:lang w:val="it-IT"/>
        </w:rPr>
        <w:t>arte del Novecento e alle creazioni pi</w:t>
      </w:r>
      <w:r>
        <w:rPr>
          <w:rStyle w:val="Nessuno"/>
          <w:rtl w:val="0"/>
          <w:lang w:val="it-IT"/>
        </w:rPr>
        <w:t xml:space="preserve">ù </w:t>
      </w:r>
      <w:r>
        <w:rPr>
          <w:rStyle w:val="Nessuno"/>
          <w:rtl w:val="0"/>
          <w:lang w:val="it-IT"/>
        </w:rPr>
        <w:t xml:space="preserve">recenti. </w:t>
      </w:r>
    </w:p>
    <w:p>
      <w:pPr>
        <w:pStyle w:val="Normale"/>
      </w:pPr>
    </w:p>
    <w:p>
      <w:pPr>
        <w:rPr>
          <w:rStyle w:val="Nessuno"/>
          <w:rtl w:val="0"/>
          <w:lang w:val="en-US"/>
        </w:rPr>
        <w:pStyle w:val="Normale"/>
        <w:jc w:val="both"/>
      </w:pPr>
      <w:r>
        <w:rPr>
          <w:rStyle w:val="Nessuno"/>
          <w:rtl w:val="0"/>
          <w:lang w:val="it-IT"/>
        </w:rPr>
        <w:t xml:space="preserve">Accanto alle opere, il progetto </w:t>
      </w:r>
      <w:r>
        <w:rPr>
          <w:rStyle w:val="Nessuno"/>
          <w:rtl w:val="0"/>
          <w:lang w:val="it-IT"/>
        </w:rPr>
        <w:t xml:space="preserve">è </w:t>
      </w:r>
      <w:r>
        <w:rPr>
          <w:rStyle w:val="Nessuno"/>
          <w:rtl w:val="0"/>
          <w:lang w:val="it-IT"/>
        </w:rPr>
        <w:t xml:space="preserve">arricchito da un </w:t>
      </w:r>
      <w:r>
        <w:rPr>
          <w:rStyle w:val="Nessuno"/>
          <w:b w:val="1"/>
          <w:bCs w:val="1"/>
          <w:rtl w:val="0"/>
          <w:lang w:val="it-IT"/>
        </w:rPr>
        <w:t>catalogo</w:t>
      </w:r>
      <w:r>
        <w:rPr>
          <w:rStyle w:val="Nessuno"/>
          <w:rtl w:val="0"/>
          <w:lang w:val="it-IT"/>
        </w:rPr>
        <w:t xml:space="preserve"> a cura di Cristina Galassi </w:t>
      </w:r>
      <w:r>
        <w:rPr>
          <w:rStyle w:val="Nessuno"/>
          <w:rtl w:val="0"/>
          <w:lang w:val="en-US"/>
        </w:rPr>
        <w:t xml:space="preserve">e </w:t>
      </w:r>
      <w:r>
        <w:rPr>
          <w:rStyle w:val="Nessuno"/>
          <w:rtl w:val="0"/>
          <w:lang w:val="it-IT"/>
        </w:rPr>
        <w:t xml:space="preserve">Ettore A. Sannipoli (Silvana Editore, 343 pagine a colori) e da contributi multimediali e installazioni immersive, oltre che da itinerari cittadini nei luoghi della leggenda, come la chiesa di Santa Maria della Vittorina, San Francesco della Pace e il monumento di Farpi Vignoli (1973). Gubbio, con la sua storia e i suoi monumenti, profondamente legati alla presenza francescana, diventa cos</w:t>
      </w:r>
      <w:r>
        <w:rPr>
          <w:rStyle w:val="Nessuno"/>
          <w:rtl w:val="0"/>
          <w:lang w:val="it-IT"/>
        </w:rPr>
        <w:t xml:space="preserve">ì </w:t>
      </w:r>
      <w:r>
        <w:rPr>
          <w:rStyle w:val="Nessuno"/>
          <w:rtl w:val="0"/>
          <w:lang w:val="it-IT"/>
        </w:rPr>
        <w:t>cornice e protagonista di un racconto che unisce arte, spiritualit</w:t>
      </w:r>
      <w:r>
        <w:rPr>
          <w:rStyle w:val="Nessuno"/>
          <w:rtl w:val="0"/>
          <w:lang w:val="it-IT"/>
        </w:rPr>
        <w:t xml:space="preserve">à </w:t>
      </w:r>
      <w:r>
        <w:rPr>
          <w:rStyle w:val="Nessuno"/>
          <w:rtl w:val="0"/>
          <w:lang w:val="it-IT"/>
        </w:rPr>
        <w:t>e memoria collettiva.</w:t>
      </w:r>
      <w:r>
        <w:rPr>
          <w:rStyle w:val="Nessuno"/>
          <w:rtl w:val="0"/>
          <w:lang w:val="en-US"/>
        </w:rPr>
        <w:t xml:space="preserve"> </w:t>
      </w:r>
    </w:p>
    <w:p>
      <w:pPr>
        <w:pStyle w:val="Normale"/>
        <w:jc w:val="both"/>
      </w:pPr>
      <w:r>
        <w:rPr>
          <w:rStyle w:val="Nessuno"/>
          <w:rtl w:val="0"/>
          <w:lang w:val="en-US"/>
        </w:rPr>
        <w:t xml:space="preserve">“</w:t>
      </w:r>
      <w:r>
        <w:rPr>
          <w:rStyle w:val="Nessuno"/>
          <w:rtl w:val="0"/>
          <w:lang w:val="en-US"/>
          <w:i w:val="true"/>
        </w:rPr>
        <w:t xml:space="preserve">Credo </w:t>
      </w:r>
      <w:r>
        <w:rPr>
          <w:rStyle w:val="Nessuno"/>
          <w:rtl w:val="0"/>
          <w:lang w:val="en-US"/>
        </w:rPr>
        <w:t xml:space="preserve">- spiega la curatrice Cristina Galassi - </w:t>
      </w:r>
      <w:r>
        <w:rPr>
          <w:rStyle w:val="Nessuno"/>
          <w:rtl w:val="0"/>
          <w:lang w:val="en-US"/>
          <w:i w:val="true"/>
        </w:rPr>
        <w:t xml:space="preserve">che i visitatori abbiano colto pienamente il messaggio di custodia della pace, di apertura verso gli altri e di rispetto del creato che racchiude quest’esposizione. La mostra racconta tutto questo attraverso opere che, già agli inizi del Quattrocento, esprimevano con forza tali valori. Non era mai stata realizzata una mostra dedicata a questo tema. Non poteva che nascere a Gubbio e anche per questo a ha riscosso un successo così significativo. Il pubblico ha saputo apprezzare non solo la bellezza delle opere, ma anche l’importanza del messaggio universale di San Francesco, capace di parlare a tutti. Attraverso l’arte siamo riusciti a trasmettere un messaggio forte e attuale, valorizzato in tutte le sue espressioni</w:t>
      </w:r>
      <w:r>
        <w:rPr>
          <w:rStyle w:val="Nessuno"/>
          <w:rtl w:val="0"/>
          <w:lang w:val="en-US"/>
        </w:rPr>
        <w:t xml:space="preserve">”.</w:t>
      </w:r>
    </w:p>
    <w:p>
      <w:pPr>
        <w:pStyle w:val="Normale"/>
        <w:jc w:val="both"/>
        <w:rPr>
          <w:rStyle w:val="Nessuno"/>
          <w:b w:val="1"/>
          <w:bCs w:val="1"/>
        </w:rPr>
      </w:pPr>
      <w:r>
        <w:rPr>
          <w:rStyle w:val="Nessuno"/>
          <w:b w:val="1"/>
          <w:bCs w:val="1"/>
          <w:rtl w:val="0"/>
          <w:lang w:val="it-IT"/>
        </w:rPr>
        <w:t xml:space="preserve">La mostra</w:t>
      </w:r>
      <w:r>
        <w:rPr>
          <w:rStyle w:val="Nessuno"/>
          <w:rtl w:val="0"/>
          <w:lang w:val="it-IT"/>
        </w:rPr>
        <w:t xml:space="preserve"> è </w:t>
      </w:r>
      <w:r>
        <w:rPr>
          <w:rStyle w:val="Nessuno"/>
          <w:rtl w:val="0"/>
          <w:lang w:val="it-IT"/>
        </w:rPr>
        <w:t>stata possibile anche grazie al sostegno della Fondazione Perugia, della Scuola di Specializzazione in Beni Storico-Artistici, dell</w:t>
      </w:r>
      <w:r>
        <w:rPr>
          <w:rStyle w:val="Nessuno"/>
          <w:rtl w:val="0"/>
          <w:lang w:val="it-IT"/>
        </w:rPr>
        <w:t>’</w:t>
      </w:r>
      <w:r>
        <w:rPr>
          <w:rStyle w:val="Nessuno"/>
          <w:rtl w:val="0"/>
          <w:lang w:val="it-IT"/>
        </w:rPr>
        <w:t>Universit</w:t>
      </w:r>
      <w:r>
        <w:rPr>
          <w:rStyle w:val="Nessuno"/>
          <w:rtl w:val="0"/>
          <w:lang w:val="it-IT"/>
        </w:rPr>
        <w:t xml:space="preserve">à </w:t>
      </w:r>
      <w:r>
        <w:rPr>
          <w:rStyle w:val="Nessuno"/>
          <w:rtl w:val="0"/>
          <w:lang w:val="it-IT"/>
        </w:rPr>
        <w:t>per Stranieri di Perugia, dell</w:t>
      </w:r>
      <w:r>
        <w:rPr>
          <w:rStyle w:val="Nessuno"/>
          <w:rtl w:val="0"/>
          <w:lang w:val="it-IT"/>
        </w:rPr>
        <w:t>’</w:t>
      </w:r>
      <w:r>
        <w:rPr>
          <w:rStyle w:val="Nessuno"/>
          <w:rtl w:val="0"/>
          <w:lang w:val="it-IT"/>
        </w:rPr>
        <w:t>Istituto Centrale per il Patrimonio Immateriale e della Soprintendenza Archeologia, Belle Arti e Paesaggio dell</w:t>
      </w:r>
      <w:r>
        <w:rPr>
          <w:rStyle w:val="Nessuno"/>
          <w:rtl w:val="0"/>
          <w:lang w:val="it-IT"/>
        </w:rPr>
        <w:t>’</w:t>
      </w:r>
      <w:r>
        <w:rPr>
          <w:rStyle w:val="Nessuno"/>
          <w:rtl w:val="0"/>
          <w:lang w:val="it-IT"/>
        </w:rPr>
        <w:t>Umbria, con il contributo della Regione Umbria e la collaborazione di Gubbio Cultura, La Medusa Associazione Culturale, Fondazione FoRame, Biblioteca Sperelliana, Associazione Maggio Eugubino, Festival del Medioevo e Universit</w:t>
      </w:r>
      <w:r>
        <w:rPr>
          <w:rStyle w:val="Nessuno"/>
          <w:rtl w:val="0"/>
          <w:lang w:val="it-IT"/>
        </w:rPr>
        <w:t xml:space="preserve">à </w:t>
      </w:r>
      <w:r>
        <w:rPr>
          <w:rStyle w:val="Nessuno"/>
          <w:rtl w:val="0"/>
          <w:lang w:val="it-IT"/>
        </w:rPr>
        <w:t>dei Muratori Scalpellini ed Arti Congeneri. Decisivo il sostegno delle realt</w:t>
      </w:r>
      <w:r>
        <w:rPr>
          <w:rStyle w:val="Nessuno"/>
          <w:rtl w:val="0"/>
          <w:lang w:val="it-IT"/>
        </w:rPr>
        <w:t xml:space="preserve">à </w:t>
      </w:r>
      <w:r>
        <w:rPr>
          <w:rStyle w:val="Nessuno"/>
          <w:rtl w:val="0"/>
          <w:lang w:val="it-IT"/>
        </w:rPr>
        <w:t>imprenditoriali e associative del territorio, tra cui Colacem, Colabeton, Financo, CVR, Unicoop Etruria, Ti Style, Cementerie Aldo Barbetti, Redil, Cau, Lieve e Rotary Club di Gubbio.</w:t>
      </w:r>
    </w:p>
    <w:p>
      <w:pPr>
        <w:pStyle w:val="Normale"/>
        <w:jc w:val="both"/>
      </w:pPr>
    </w:p>
    <w:p>
      <w:pPr>
        <w:pStyle w:val="Normale"/>
        <w:jc w:val="both"/>
      </w:pPr>
      <w:r>
        <w:rPr>
          <w:rStyle w:val="Nessuno"/>
          <w:rtl w:val="0"/>
          <w:lang w:val="it-IT"/>
        </w:rPr>
        <w:t xml:space="preserve">Con </w:t>
      </w:r>
      <w:r>
        <w:rPr>
          <w:rStyle w:val="Nessuno"/>
          <w:i w:val="1"/>
          <w:iCs w:val="1"/>
          <w:rtl w:val="0"/>
          <w:lang w:val="it-IT"/>
        </w:rPr>
        <w:t>Francesco e Frate Lupo. L</w:t>
      </w:r>
      <w:r>
        <w:rPr>
          <w:rStyle w:val="Nessuno"/>
          <w:i w:val="1"/>
          <w:iCs w:val="1"/>
          <w:rtl w:val="0"/>
          <w:lang w:val="it-IT"/>
        </w:rPr>
        <w:t>’</w:t>
      </w:r>
      <w:r>
        <w:rPr>
          <w:rStyle w:val="Nessuno"/>
          <w:i w:val="1"/>
          <w:iCs w:val="1"/>
          <w:rtl w:val="0"/>
          <w:lang w:val="it-IT"/>
        </w:rPr>
        <w:t>arte racconta la leggenda dell</w:t>
      </w:r>
      <w:r>
        <w:rPr>
          <w:rStyle w:val="Nessuno"/>
          <w:i w:val="1"/>
          <w:iCs w:val="1"/>
          <w:rtl w:val="0"/>
          <w:lang w:val="it-IT"/>
        </w:rPr>
        <w:t>’</w:t>
      </w:r>
      <w:r>
        <w:rPr>
          <w:rStyle w:val="Nessuno"/>
          <w:i w:val="1"/>
          <w:iCs w:val="1"/>
          <w:rtl w:val="0"/>
          <w:lang w:val="it-IT"/>
        </w:rPr>
        <w:t>incontro</w:t>
      </w:r>
      <w:r>
        <w:rPr>
          <w:rStyle w:val="Nessuno"/>
          <w:rtl w:val="0"/>
          <w:lang w:val="it-IT"/>
        </w:rPr>
        <w:t>, Gubbio rinnova il suo legame profondo con San Francesco e offre al pubblico un</w:t>
      </w:r>
      <w:r>
        <w:rPr>
          <w:rStyle w:val="Nessuno"/>
          <w:rtl w:val="0"/>
          <w:lang w:val="it-IT"/>
        </w:rPr>
        <w:t>’</w:t>
      </w:r>
      <w:r>
        <w:rPr>
          <w:rStyle w:val="Nessuno"/>
          <w:rtl w:val="0"/>
          <w:lang w:val="it-IT"/>
        </w:rPr>
        <w:t>occasione unica di riflessione e bellezza. L</w:t>
      </w:r>
      <w:r>
        <w:rPr>
          <w:rStyle w:val="Nessuno"/>
          <w:rtl w:val="0"/>
          <w:lang w:val="it-IT"/>
        </w:rPr>
        <w:t>’</w:t>
      </w:r>
      <w:r>
        <w:rPr>
          <w:rStyle w:val="Nessuno"/>
          <w:rtl w:val="0"/>
          <w:lang w:val="it-IT"/>
        </w:rPr>
        <w:t>abbraccio tra Francesco e il lupo, ieri come oggi, parla di pace, rispetto e fraternit</w:t>
      </w:r>
      <w:r>
        <w:rPr>
          <w:rStyle w:val="Nessuno"/>
          <w:rtl w:val="0"/>
          <w:lang w:val="it-IT"/>
        </w:rPr>
        <w:t xml:space="preserve">à </w:t>
      </w:r>
      <w:r>
        <w:rPr>
          <w:rStyle w:val="Nessuno"/>
          <w:rtl w:val="0"/>
          <w:lang w:val="it-IT"/>
        </w:rPr>
        <w:t>universale: valori che l</w:t>
      </w:r>
      <w:r>
        <w:rPr>
          <w:rStyle w:val="Nessuno"/>
          <w:rtl w:val="0"/>
          <w:lang w:val="it-IT"/>
        </w:rPr>
        <w:t>’</w:t>
      </w:r>
      <w:r>
        <w:rPr>
          <w:rStyle w:val="Nessuno"/>
          <w:rtl w:val="0"/>
          <w:lang w:val="it-IT"/>
        </w:rPr>
        <w:t>Ottavo Centenario intende riscoprire e trasmettere alle generazioni future.</w:t>
      </w:r>
      <w:r/>
    </w:p>
    <w:sectPr>
      <w:headerReference w:type="default" r:id="rId5"/>
      <w:footerReference w:type="default" r:id="rId6"/>
      <w:pgSz w:w="11900" w:h="16840" w:orient="portrait"/>
      <w:pgMar w:top="979" w:right="1133" w:bottom="1702" w:left="1133" w:header="1004" w:footer="720"/>
      <w:pgNumType w:start="1"/>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ormal.0"/>
      <w:jc w:val="center"/>
    </w:pPr>
  </w:p>
  <w:p>
    <w:pPr>
      <w:pStyle w:val="normal.0"/>
      <w:jc w:val="center"/>
    </w:pPr>
    <w:r>
      <mc:AlternateContent>
        <mc:Choice Requires="wps">
          <w:drawing xmlns:a="http://schemas.openxmlformats.org/drawingml/2006/main">
            <wp:inline distT="0" distB="0" distL="0" distR="0">
              <wp:extent cx="12700" cy="19203"/>
              <wp:effectExtent l="0" t="0" r="0" b="0"/>
              <wp:docPr id="1073741825" name="officeArt object" descr="Rettangolo"/>
              <wp:cNvGraphicFramePr/>
              <a:graphic xmlns:a="http://schemas.openxmlformats.org/drawingml/2006/main">
                <a:graphicData uri="http://schemas.microsoft.com/office/word/2010/wordprocessingShape">
                  <wps:wsp>
                    <wps:cNvSpPr/>
                    <wps:spPr>
                      <a:xfrm>
                        <a:off x="0" y="0"/>
                        <a:ext cx="12700" cy="19203"/>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1.0pt;height:1.5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pPr>
      <w:pStyle w:val="normal.0"/>
      <w:jc w:val="center"/>
    </w:pPr>
    <w:r>
      <w:rPr>
        <w:sz w:val="20"/>
        <w:szCs w:val="20"/>
        <w:rtl w:val="0"/>
        <w:lang w:val="it-IT"/>
      </w:rPr>
      <w:t xml:space="preserve">InfoLine: 3356789939 - 3335265797 </w:t>
    </w:r>
    <w:r>
      <w:rPr>
        <w:sz w:val="20"/>
        <w:szCs w:val="20"/>
        <w:rtl w:val="0"/>
        <w:lang w:val="it-IT"/>
      </w:rPr>
      <w:t xml:space="preserve">• </w:t>
    </w:r>
    <w:r>
      <w:rPr>
        <w:sz w:val="20"/>
        <w:szCs w:val="20"/>
        <w:rtl w:val="0"/>
        <w:lang w:val="it-IT"/>
      </w:rPr>
      <w:t xml:space="preserve">Email: </w:t>
    </w:r>
    <w:r>
      <w:rPr>
        <w:rStyle w:val="Hyperlink.0"/>
      </w:rPr>
      <w:fldChar w:fldCharType="begin" w:fldLock="0"/>
    </w:r>
    <w:r>
      <w:rPr>
        <w:rStyle w:val="Hyperlink.0"/>
      </w:rPr>
      <w:instrText xml:space="preserve"> HYPERLINK "mailto:posta@francescoagubbio.it"</w:instrText>
    </w:r>
    <w:r>
      <w:rPr>
        <w:rStyle w:val="Hyperlink.0"/>
      </w:rPr>
      <w:fldChar w:fldCharType="separate" w:fldLock="0"/>
    </w:r>
    <w:r>
      <w:rPr>
        <w:rStyle w:val="Hyperlink.0"/>
        <w:rtl w:val="0"/>
        <w:lang w:val="it-IT"/>
      </w:rPr>
      <w:t>posta@francescoagubbio.it</w:t>
    </w:r>
    <w:r>
      <w:rPr/>
      <w:fldChar w:fldCharType="end" w:fldLock="0"/>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Intestazione e piè di pagina"/>
      <w:bidi w:val="0"/>
    </w:pPr>
    <w:r/>
  </w:p>
</w:hdr>
</file>

<file path=word/numbering.xml><?xml version="1.0" encoding="utf-8"?>
<w:numbering xmlns:w="http://schemas.openxmlformats.org/wordprocessingml/2006/main"/>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italiano" w:val="‘“(〔[{〈《「『【⦅〘〖«〝︵︷︹︻︽︿﹁﹃﹇﹙﹛﹝｢"/>
  <w:noLineBreaksBefore w:lang="italiano"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Intestazione e piè di pagina">
    <w:name w:val="Intestazione e piè di pagina"/>
    <w:next w:val="Intestazione e piè di pagina"/>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normal.0">
    <w:name w:val="normal"/>
    <w:next w:val="normal.0"/>
    <w:pPr>
      <w:keepNext w:val="0"/>
      <w:keepLines w:val="0"/>
      <w:pageBreakBefore w:val="0"/>
      <w:widowControl w:val="1"/>
      <w:shd w:val="clear" w:color="auto" w:fill="auto"/>
      <w:suppressAutoHyphens w:val="0"/>
      <w:bidi w:val="0"/>
      <w:spacing w:before="0" w:after="0" w:line="276"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it-IT"/>
      <w14:textFill>
        <w14:solidFill>
          <w14:srgbClr w14:val="000000"/>
        </w14:solidFill>
      </w14:textFill>
    </w:rPr>
  </w:style>
  <w:style w:type="character" w:styleId="Nessuno">
    <w:name w:val="Nessuno"/>
  </w:style>
  <w:style w:type="character" w:styleId="Hyperlink.0">
    <w:name w:val="Hyperlink.0"/>
    <w:basedOn w:val="Nessuno"/>
    <w:next w:val="Hyperlink.0"/>
    <w:rPr>
      <w:outline w:val="0"/>
      <w:color w:val="1155cc"/>
      <w:sz w:val="20"/>
      <w:szCs w:val="20"/>
      <w:u w:val="single" w:color="1155cc"/>
      <w14:textFill>
        <w14:solidFill>
          <w14:srgbClr w14:val="1155CC"/>
        </w14:solidFill>
      </w14:textFill>
    </w:rPr>
  </w:style>
  <w:style w:type="paragraph" w:styleId="Normale">
    <w:name w:val="Normale"/>
    <w:next w:val="Normale"/>
    <w:pPr>
      <w:keepNext w:val="0"/>
      <w:keepLines w:val="0"/>
      <w:pageBreakBefore w:val="0"/>
      <w:widowControl w:val="1"/>
      <w:shd w:val="clear" w:color="auto" w:fill="auto"/>
      <w:suppressAutoHyphens w:val="0"/>
      <w:bidi w:val="0"/>
      <w:spacing w:before="0" w:after="0" w:line="276" w:lineRule="auto"/>
      <w:ind w:left="0" w:right="0" w:firstLine="0"/>
      <w:jc w:val="left"/>
      <w:outlineLvl w:val="9"/>
    </w:pPr>
    <w:rPr>
      <w:rFonts w:ascii="Arial" w:cs="Arial" w:hAnsi="Arial" w:eastAsia="Arial"/>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it-IT"/>
      <w14:textFill>
        <w14:solidFill>
          <w14:srgbClr w14:val="000000"/>
        </w14:solidFill>
      </w14:textFill>
    </w:rPr>
  </w:style>
</w:styles>
</file>

<file path=word/_rels/document.xml.rels><?xml version="1.0" encoding="UTF-8"?>
<Relationships xmlns="http://schemas.openxmlformats.org/package/2006/relationships"><Relationship Id="rId8" Type="http://schemas.openxmlformats.org/officeDocument/2006/relationships/numbering" Target="numbering.xml"/><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jpe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dcterms:modified xsi:type="dcterms:W3CDTF">2026-01-07T11:04:36Z</dcterms:modified><dcterms:created xsi:type="dcterms:W3CDTF">2026-01-07T11:04:36Z</dcterms:created><?xml version="1.0" encoding="UTF-8"?>
<cp:coreProperties xmlns:cp="http://schemas.openxmlformats.org/package/2006/metadata/core-properties" xmlns:dc="http://purl.org/dc/elements/1.1/" xmlns:dcterms="http://purl.org/dc/terms/" xmlns:xsi="http://www.w3.org/2001/XMLSchema-instance"/>

</file>